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68" w:rsidRDefault="00910D68">
      <w:pPr>
        <w:jc w:val="center"/>
        <w:rPr>
          <w:sz w:val="28"/>
        </w:rPr>
      </w:pPr>
    </w:p>
    <w:tbl>
      <w:tblPr>
        <w:tblW w:w="10485" w:type="dxa"/>
        <w:tblInd w:w="-76" w:type="dxa"/>
        <w:tblCellMar>
          <w:left w:w="113" w:type="dxa"/>
        </w:tblCellMar>
        <w:tblLook w:val="0000"/>
      </w:tblPr>
      <w:tblGrid>
        <w:gridCol w:w="6241"/>
        <w:gridCol w:w="4244"/>
      </w:tblGrid>
      <w:tr w:rsidR="00910D68">
        <w:trPr>
          <w:trHeight w:val="5265"/>
        </w:trPr>
        <w:tc>
          <w:tcPr>
            <w:tcW w:w="6240" w:type="dxa"/>
            <w:shd w:val="clear" w:color="auto" w:fill="auto"/>
          </w:tcPr>
          <w:p w:rsidR="00910D68" w:rsidRDefault="00B60CC4">
            <w:pPr>
              <w:spacing w:after="120"/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114935" distR="114935">
                  <wp:extent cx="575945" cy="688975"/>
                  <wp:effectExtent l="0" t="0" r="0" b="0"/>
                  <wp:docPr id="1" name="pi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D68" w:rsidRDefault="00B60CC4">
            <w:pPr>
              <w:pStyle w:val="ab"/>
            </w:pPr>
            <w:r>
              <w:rPr>
                <w:rFonts w:ascii="Times New Roman" w:hAnsi="Times New Roman"/>
              </w:rPr>
              <w:t>МЧС России</w:t>
            </w:r>
          </w:p>
          <w:p w:rsidR="00910D68" w:rsidRDefault="00B60CC4">
            <w:pPr>
              <w:jc w:val="center"/>
            </w:pPr>
            <w:r>
              <w:rPr>
                <w:b/>
                <w:sz w:val="18"/>
              </w:rPr>
              <w:t xml:space="preserve">ГЛАВНОЕ УПРАВЛЕНИЕ МИНИСТЕРСТВА РОССИЙСКОЙ ФЕДЕРАЦИИ </w:t>
            </w:r>
            <w:r>
              <w:rPr>
                <w:rFonts w:ascii="Times New Roman CYR" w:hAnsi="Times New Roman CYR"/>
                <w:b/>
                <w:sz w:val="18"/>
              </w:rPr>
              <w:t>ПО ДЕЛАМ ГРАЖДАНСКОЙ ОБОРОНЫ, ЧРЕЗВЫЧАЙНЫМ СИТУАЦИЯМ И ЛИКВИДАЦИИ ПОСЛЕДСТВИЙ СТИХИЙНЫХ БЕДСТВИЙ ПО РЕСПУБЛИКЕ БАШКОРТОСТАН</w:t>
            </w:r>
          </w:p>
          <w:p w:rsidR="00910D68" w:rsidRDefault="00B60CC4">
            <w:pPr>
              <w:jc w:val="center"/>
              <w:rPr>
                <w:rFonts w:ascii="Times New Roman CYR" w:hAnsi="Times New Roman CYR"/>
                <w:b/>
                <w:sz w:val="18"/>
              </w:rPr>
            </w:pPr>
            <w:r>
              <w:rPr>
                <w:rFonts w:ascii="Times New Roman CYR" w:hAnsi="Times New Roman CYR"/>
                <w:b/>
                <w:sz w:val="18"/>
              </w:rPr>
              <w:t>УПРАВЛЕНИЕ НАДЗОРНОЙ ДЕЯТЕЛЬНОСТИ И ПРОФИЛАКТИЧЕСКОЙ РАБОТЫ</w:t>
            </w:r>
          </w:p>
          <w:p w:rsidR="001C61AB" w:rsidRDefault="001C61AB">
            <w:pPr>
              <w:jc w:val="center"/>
            </w:pPr>
            <w:r>
              <w:rPr>
                <w:rFonts w:ascii="Times New Roman CYR" w:hAnsi="Times New Roman CYR"/>
                <w:b/>
                <w:sz w:val="18"/>
              </w:rPr>
              <w:t>УПРАВЛЕНИЕ НАДЗОРНОЙ ДЕЯТЕЛЬНОСТИ И ПРОФИЛАКТИЧЕСКОЙ РАБОТЫ</w:t>
            </w:r>
          </w:p>
          <w:p w:rsidR="00910D68" w:rsidRDefault="00B60CC4">
            <w:pPr>
              <w:jc w:val="center"/>
            </w:pPr>
            <w:r>
              <w:rPr>
                <w:rFonts w:ascii="Times New Roman CYR" w:hAnsi="Times New Roman CYR"/>
                <w:b/>
                <w:sz w:val="18"/>
              </w:rPr>
              <w:t>БАЙМАКСКИЙ МЕЖРАЙОННЫЙ ОТДЕЛ</w:t>
            </w:r>
            <w:r w:rsidR="001C61AB">
              <w:t xml:space="preserve"> </w:t>
            </w:r>
            <w:r>
              <w:rPr>
                <w:rFonts w:ascii="Times New Roman CYR" w:hAnsi="Times New Roman CYR"/>
                <w:b/>
                <w:sz w:val="18"/>
              </w:rPr>
              <w:t>НАДЗОРНОЙ ДЕЯТЕЛЬНОСТИ И ПРОФИЛАКТИЧЕСКОЙ РАБОТЫ</w:t>
            </w:r>
          </w:p>
          <w:p w:rsidR="00910D68" w:rsidRDefault="00B60CC4">
            <w:pPr>
              <w:jc w:val="center"/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453680, Республика Башкортостан, Зилаирский район,</w:t>
            </w:r>
          </w:p>
          <w:p w:rsidR="00910D68" w:rsidRDefault="00B60CC4">
            <w:pPr>
              <w:jc w:val="center"/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с. Зилаир, ул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енина,87, каб.9. </w:t>
            </w:r>
            <w:bookmarkStart w:id="0" w:name="__DdeLink__67_1966680409"/>
            <w:r>
              <w:rPr>
                <w:rFonts w:ascii="Times New Roman CYR" w:hAnsi="Times New Roman CYR" w:cs="Times New Roman CYR"/>
                <w:sz w:val="18"/>
                <w:szCs w:val="18"/>
              </w:rPr>
              <w:t>тел.: 2-22-01 (код 34752)</w:t>
            </w:r>
            <w:bookmarkEnd w:id="0"/>
          </w:p>
          <w:p w:rsidR="00910D68" w:rsidRDefault="00491484">
            <w:pPr>
              <w:jc w:val="center"/>
            </w:pPr>
            <w:hyperlink r:id="rId5">
              <w:bookmarkStart w:id="1" w:name="__DdeLink__50_503455213"/>
              <w:r w:rsidR="00B60CC4">
                <w:rPr>
                  <w:rStyle w:val="-"/>
                  <w:color w:val="0000FF"/>
                </w:rPr>
                <w:t>ond.zilair@mail.ru</w:t>
              </w:r>
            </w:hyperlink>
            <w:bookmarkEnd w:id="1"/>
            <w:r w:rsidR="00B60CC4">
              <w:t>.</w:t>
            </w:r>
          </w:p>
          <w:p w:rsidR="00910D68" w:rsidRDefault="00B60CC4">
            <w:pPr>
              <w:jc w:val="center"/>
            </w:pPr>
            <w:r>
              <w:rPr>
                <w:sz w:val="16"/>
              </w:rPr>
              <w:t>Тел. доверия  ГУ МЧС России по РБ (347) 2339999</w:t>
            </w:r>
          </w:p>
          <w:p w:rsidR="00910D68" w:rsidRDefault="00910D68">
            <w:pPr>
              <w:rPr>
                <w:rFonts w:ascii="Times New Roman CYR" w:hAnsi="Times New Roman CYR"/>
                <w:sz w:val="18"/>
              </w:rPr>
            </w:pPr>
          </w:p>
          <w:p w:rsidR="00910D68" w:rsidRDefault="00B60CC4">
            <w:pPr>
              <w:spacing w:after="120"/>
              <w:jc w:val="center"/>
            </w:pPr>
            <w:r>
              <w:rPr>
                <w:rFonts w:ascii="Times New Roman CYR" w:hAnsi="Times New Roman CYR"/>
              </w:rPr>
              <w:t>Исх. №   _______</w:t>
            </w:r>
            <w:r>
              <w:rPr>
                <w:rFonts w:ascii="Times New Roman CYR" w:hAnsi="Times New Roman CYR"/>
                <w:u w:val="single"/>
              </w:rPr>
              <w:t>-2-17-28</w:t>
            </w:r>
            <w:r w:rsidR="001C61AB">
              <w:rPr>
                <w:rFonts w:ascii="Times New Roman CYR" w:hAnsi="Times New Roman CYR"/>
              </w:rPr>
              <w:t xml:space="preserve"> от  декабря 2018</w:t>
            </w:r>
            <w:r>
              <w:rPr>
                <w:rFonts w:ascii="Times New Roman CYR" w:hAnsi="Times New Roman CYR"/>
              </w:rPr>
              <w:t xml:space="preserve"> года</w:t>
            </w:r>
          </w:p>
          <w:p w:rsidR="00910D68" w:rsidRDefault="00B60CC4">
            <w:pPr>
              <w:spacing w:after="120"/>
              <w:jc w:val="center"/>
            </w:pPr>
            <w:r>
              <w:rPr>
                <w:rFonts w:ascii="Times New Roman CYR" w:hAnsi="Times New Roman CYR"/>
              </w:rPr>
              <w:t>На № ___________ от ____________________</w:t>
            </w:r>
          </w:p>
        </w:tc>
        <w:tc>
          <w:tcPr>
            <w:tcW w:w="4244" w:type="dxa"/>
            <w:shd w:val="clear" w:color="auto" w:fill="auto"/>
          </w:tcPr>
          <w:p w:rsidR="00910D68" w:rsidRDefault="00910D68">
            <w:pPr>
              <w:spacing w:after="120"/>
              <w:jc w:val="center"/>
              <w:rPr>
                <w:rFonts w:ascii="Times New Roman CYR" w:hAnsi="Times New Roman CYR"/>
              </w:rPr>
            </w:pPr>
          </w:p>
          <w:p w:rsidR="00910D68" w:rsidRDefault="00910D68">
            <w:pPr>
              <w:jc w:val="center"/>
              <w:rPr>
                <w:sz w:val="28"/>
              </w:rPr>
            </w:pPr>
          </w:p>
          <w:p w:rsidR="00910D68" w:rsidRDefault="00910D68">
            <w:pPr>
              <w:jc w:val="center"/>
              <w:rPr>
                <w:sz w:val="28"/>
              </w:rPr>
            </w:pPr>
          </w:p>
          <w:p w:rsidR="00910D68" w:rsidRDefault="00B60C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Руководителю</w:t>
            </w:r>
          </w:p>
        </w:tc>
      </w:tr>
    </w:tbl>
    <w:p w:rsidR="00910D68" w:rsidRDefault="00910D68">
      <w:pPr>
        <w:rPr>
          <w:b/>
          <w:bCs/>
          <w:sz w:val="26"/>
          <w:szCs w:val="26"/>
        </w:rPr>
      </w:pPr>
    </w:p>
    <w:p w:rsidR="00910D68" w:rsidRDefault="00B60CC4">
      <w:r>
        <w:rPr>
          <w:b/>
          <w:bCs/>
          <w:sz w:val="26"/>
          <w:szCs w:val="26"/>
        </w:rPr>
        <w:t>«О правилах хранения и реализации пиротехники»</w:t>
      </w:r>
    </w:p>
    <w:p w:rsidR="00910D68" w:rsidRDefault="00910D68">
      <w:pPr>
        <w:ind w:firstLine="851"/>
        <w:jc w:val="both"/>
        <w:rPr>
          <w:sz w:val="26"/>
          <w:szCs w:val="26"/>
        </w:rPr>
      </w:pPr>
    </w:p>
    <w:p w:rsidR="00910D68" w:rsidRDefault="00B60C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преддверии Новогодних и Рождественских праздников ожидается активизация реализации и применения пиротехнических изделий.</w:t>
      </w:r>
    </w:p>
    <w:p w:rsidR="00910D68" w:rsidRDefault="00B60CC4">
      <w:pPr>
        <w:ind w:firstLine="851"/>
        <w:jc w:val="both"/>
      </w:pPr>
      <w:r>
        <w:rPr>
          <w:sz w:val="28"/>
          <w:szCs w:val="28"/>
        </w:rPr>
        <w:t>Баймакский межрайонный отдел надзорной деятельности и профилактической работы управления надзорной деятельности и профилактической работы Главного управления МЧС России по Республике Башкортостан</w:t>
      </w:r>
      <w:r>
        <w:rPr>
          <w:rStyle w:val="2"/>
          <w:rFonts w:eastAsia="SimSun"/>
          <w:sz w:val="28"/>
          <w:szCs w:val="28"/>
        </w:rPr>
        <w:t xml:space="preserve"> информирует, что при хранении и реализации пиротехнических изделий необходимо руководствоваться следующими документами, устанавливающими требования пожарной безопасности: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правила противопожарного режима в Российской Федерации, утвержденные постановлением Правительства Российской Федерации от 25.04.2012 №390;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постановление Правительства Российской Федерации от 22.12.2009 № 1052 «Об утверждении</w:t>
      </w:r>
      <w:r>
        <w:rPr>
          <w:rStyle w:val="2"/>
          <w:rFonts w:eastAsia="SimSun"/>
          <w:sz w:val="28"/>
          <w:szCs w:val="28"/>
        </w:rPr>
        <w:tab/>
        <w:t>требований пожарной</w:t>
      </w:r>
      <w:r>
        <w:rPr>
          <w:rStyle w:val="2"/>
          <w:rFonts w:eastAsia="SimSun"/>
          <w:sz w:val="28"/>
          <w:szCs w:val="28"/>
        </w:rPr>
        <w:tab/>
        <w:t>безопасности при расспро</w:t>
      </w:r>
      <w:proofErr w:type="gramStart"/>
      <w:r>
        <w:rPr>
          <w:rStyle w:val="2"/>
          <w:rFonts w:eastAsia="SimSun"/>
          <w:sz w:val="28"/>
          <w:szCs w:val="28"/>
        </w:rPr>
        <w:t>с-</w:t>
      </w:r>
      <w:proofErr w:type="gramEnd"/>
      <w:r>
        <w:rPr>
          <w:rStyle w:val="2"/>
          <w:rFonts w:eastAsia="SimSun"/>
          <w:sz w:val="28"/>
          <w:szCs w:val="28"/>
        </w:rPr>
        <w:t xml:space="preserve"> </w:t>
      </w:r>
      <w:proofErr w:type="spellStart"/>
      <w:r>
        <w:rPr>
          <w:rStyle w:val="2"/>
          <w:rFonts w:eastAsia="SimSun"/>
          <w:sz w:val="28"/>
          <w:szCs w:val="28"/>
        </w:rPr>
        <w:t>транении</w:t>
      </w:r>
      <w:proofErr w:type="spellEnd"/>
      <w:r>
        <w:rPr>
          <w:rStyle w:val="2"/>
          <w:rFonts w:eastAsia="SimSun"/>
          <w:sz w:val="28"/>
          <w:szCs w:val="28"/>
        </w:rPr>
        <w:t xml:space="preserve"> и использовании пиротехнических изделий»;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технический</w:t>
      </w:r>
      <w:r>
        <w:rPr>
          <w:rStyle w:val="2"/>
          <w:rFonts w:eastAsia="SimSun"/>
          <w:sz w:val="28"/>
          <w:szCs w:val="28"/>
        </w:rPr>
        <w:tab/>
        <w:t>регламент</w:t>
      </w:r>
      <w:r>
        <w:rPr>
          <w:rStyle w:val="2"/>
          <w:rFonts w:eastAsia="SimSun"/>
          <w:sz w:val="28"/>
          <w:szCs w:val="28"/>
        </w:rPr>
        <w:tab/>
        <w:t>Таможенного союза "О безопасности пиротехнических изделий", утвержденный решением комиссии Таможенного союза от 16.08.2011 № 770 «О принятии технического регламента Таможенного союза "О безопасности пиротехнических изделий";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 xml:space="preserve">пункты 6.3.1 и 6.3.2 ГОСТ </w:t>
      </w:r>
      <w:proofErr w:type="gramStart"/>
      <w:r>
        <w:rPr>
          <w:rStyle w:val="2"/>
          <w:rFonts w:eastAsia="SimSun"/>
          <w:sz w:val="28"/>
          <w:szCs w:val="28"/>
        </w:rPr>
        <w:t>Р</w:t>
      </w:r>
      <w:proofErr w:type="gramEnd"/>
      <w:r>
        <w:rPr>
          <w:rStyle w:val="2"/>
          <w:rFonts w:eastAsia="SimSun"/>
          <w:sz w:val="28"/>
          <w:szCs w:val="28"/>
        </w:rPr>
        <w:t xml:space="preserve"> 51270-99 «Изделия пиротехнических изделий».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Реализация пиротехнических изделий запрещается: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- на объектах торговли, расположенных в жилых зданиях, зданиях вокзалов (воздушных, морских, речных, железнодорожных и автомобильных), на платформах железнодорожных станций, в наземных вестибюлях станций метрополитена, уличных переходах и иных подземных сооружениях, а также транспортных средствах общего пользования и на территориях пожароопасных производственных объектов;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lastRenderedPageBreak/>
        <w:t>- лицам, достигшим 16-летнего возраста (если производителем не установлено другое возрастное ограничение);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- при отсутствии (утрате) идентификационных признаков продукции, с истекшими сроком годности, следами порчи и без инструкции (руководства) по эксплуатации, обязательного сертификата соответствия либо знака соответствия.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Пиротехнические изделия, не имеющие маркировки или имеющие маркировку, не соответствующую требованиям технического регламента, а также имеющие нарушенную целостность упаковки и истекший срок годности, подлежит изъятию из обращения.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При продаже пиротехнических изделий продавец доводит до сведения покупателя информацию о подтверждении соответствия этих изделий установленным требованиям, о наличии сертификата или декларации о соответствии и по требованию потребителя знакомит его со следующими документами:</w:t>
      </w:r>
    </w:p>
    <w:p w:rsidR="00910D68" w:rsidRDefault="00B60CC4">
      <w:pPr>
        <w:ind w:firstLine="851"/>
        <w:jc w:val="both"/>
      </w:pPr>
      <w:r>
        <w:rPr>
          <w:rStyle w:val="2"/>
          <w:rFonts w:eastAsia="SimSun"/>
          <w:sz w:val="28"/>
          <w:szCs w:val="28"/>
        </w:rPr>
        <w:t>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:rsidR="00910D68" w:rsidRDefault="00B60CC4">
      <w:pPr>
        <w:ind w:firstLine="851"/>
        <w:jc w:val="both"/>
      </w:pPr>
      <w:proofErr w:type="gramStart"/>
      <w:r>
        <w:rPr>
          <w:rStyle w:val="2"/>
          <w:rFonts w:eastAsia="SimSun"/>
          <w:sz w:val="28"/>
          <w:szCs w:val="28"/>
        </w:rPr>
        <w:t>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 (продавца), принявшего декларацию, и орган, ее зарегистрировавший).</w:t>
      </w:r>
      <w:proofErr w:type="gramEnd"/>
      <w:r>
        <w:rPr>
          <w:rStyle w:val="2"/>
          <w:rFonts w:eastAsia="SimSun"/>
          <w:sz w:val="28"/>
          <w:szCs w:val="28"/>
        </w:rPr>
        <w:t xml:space="preserve"> Эти документы должны быть подписаны изготовителем или поставщиком (продавцом) и заверены его печатью с указанием адреса и телефона.</w:t>
      </w:r>
    </w:p>
    <w:p w:rsidR="00910D68" w:rsidRDefault="00B60CC4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Если реализация продукции, осуществляется без указания в сопроводительной документации сведений о сертификате соответствия или декларации о соответствии будет  применена положение статьи 14.45 </w:t>
      </w:r>
      <w:proofErr w:type="spellStart"/>
      <w:r>
        <w:rPr>
          <w:rFonts w:eastAsia="Calibri"/>
          <w:sz w:val="28"/>
          <w:szCs w:val="28"/>
        </w:rPr>
        <w:t>КоАП</w:t>
      </w:r>
      <w:proofErr w:type="spellEnd"/>
      <w:r>
        <w:rPr>
          <w:rFonts w:eastAsia="Calibri"/>
          <w:sz w:val="28"/>
          <w:szCs w:val="28"/>
        </w:rPr>
        <w:t xml:space="preserve"> РФ.</w:t>
      </w:r>
    </w:p>
    <w:p w:rsidR="00910D68" w:rsidRDefault="00B60CC4">
      <w:pPr>
        <w:ind w:firstLine="851"/>
        <w:jc w:val="both"/>
      </w:pPr>
      <w:r>
        <w:rPr>
          <w:sz w:val="28"/>
          <w:szCs w:val="28"/>
        </w:rPr>
        <w:t xml:space="preserve">При </w:t>
      </w:r>
      <w:hyperlink r:id="rId6">
        <w:r>
          <w:rPr>
            <w:rStyle w:val="-"/>
            <w:sz w:val="28"/>
            <w:szCs w:val="28"/>
          </w:rPr>
          <w:t xml:space="preserve">маркировании </w:t>
        </w:r>
      </w:hyperlink>
      <w:r>
        <w:rPr>
          <w:sz w:val="28"/>
          <w:szCs w:val="28"/>
        </w:rPr>
        <w:t xml:space="preserve">знаком обращения продукции на рынке без </w:t>
      </w:r>
      <w:r>
        <w:rPr>
          <w:rFonts w:eastAsia="Calibri"/>
          <w:sz w:val="28"/>
          <w:szCs w:val="28"/>
        </w:rPr>
        <w:t>подтверждения соответствия пиротехнических изделий требованиям настоящего технического регламента</w:t>
      </w:r>
      <w:r>
        <w:rPr>
          <w:sz w:val="28"/>
          <w:szCs w:val="28"/>
        </w:rPr>
        <w:t xml:space="preserve"> таможенного союза</w:t>
      </w:r>
      <w:r>
        <w:rPr>
          <w:rFonts w:eastAsia="Calibri"/>
          <w:sz w:val="28"/>
          <w:szCs w:val="28"/>
        </w:rPr>
        <w:t xml:space="preserve"> (без </w:t>
      </w:r>
      <w:r>
        <w:rPr>
          <w:sz w:val="28"/>
          <w:szCs w:val="28"/>
        </w:rPr>
        <w:t xml:space="preserve">наличия сертификата соответствия) в отношении лица наносившего маркировку образуется состав правонарушения по 14.46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РФ. </w:t>
      </w:r>
    </w:p>
    <w:p w:rsidR="00910D68" w:rsidRDefault="00B60CC4">
      <w:pPr>
        <w:ind w:firstLine="851"/>
        <w:jc w:val="both"/>
      </w:pPr>
      <w:r>
        <w:rPr>
          <w:sz w:val="28"/>
          <w:szCs w:val="28"/>
        </w:rPr>
        <w:t xml:space="preserve">В случаях непредставления либо уклонения изготовителя, исполнителя (лица, выполняющего функции иностранного изготовителя), </w:t>
      </w:r>
      <w:r>
        <w:rPr>
          <w:sz w:val="28"/>
          <w:szCs w:val="28"/>
          <w:u w:val="single"/>
        </w:rPr>
        <w:t>продавца</w:t>
      </w:r>
      <w:r>
        <w:rPr>
          <w:sz w:val="28"/>
          <w:szCs w:val="28"/>
        </w:rPr>
        <w:t xml:space="preserve"> от представления образцов продукции, документов или сведений, необходимых для осуществления государственного контроля (надзора) в сфере технического регулирования, будут возбуждаться дела об административном правонарушении по статье 19.33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РФ.</w:t>
      </w:r>
    </w:p>
    <w:p w:rsidR="00910D68" w:rsidRDefault="00910D68">
      <w:pPr>
        <w:jc w:val="both"/>
        <w:rPr>
          <w:sz w:val="28"/>
          <w:szCs w:val="28"/>
        </w:rPr>
      </w:pPr>
    </w:p>
    <w:p w:rsidR="00910D68" w:rsidRDefault="00910D68">
      <w:pPr>
        <w:jc w:val="both"/>
        <w:rPr>
          <w:sz w:val="28"/>
          <w:szCs w:val="28"/>
        </w:rPr>
      </w:pPr>
    </w:p>
    <w:p w:rsidR="00910D68" w:rsidRDefault="00B60C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                                       В.А. </w:t>
      </w:r>
      <w:proofErr w:type="spellStart"/>
      <w:r>
        <w:rPr>
          <w:sz w:val="28"/>
          <w:szCs w:val="28"/>
        </w:rPr>
        <w:t>Люляев</w:t>
      </w:r>
      <w:proofErr w:type="spellEnd"/>
      <w:r>
        <w:rPr>
          <w:sz w:val="28"/>
          <w:szCs w:val="28"/>
        </w:rPr>
        <w:t>.</w:t>
      </w:r>
    </w:p>
    <w:p w:rsidR="00910D68" w:rsidRDefault="00910D68">
      <w:pPr>
        <w:jc w:val="both"/>
        <w:rPr>
          <w:sz w:val="28"/>
          <w:szCs w:val="28"/>
        </w:rPr>
      </w:pPr>
    </w:p>
    <w:p w:rsidR="00910D68" w:rsidRDefault="00910D68">
      <w:pPr>
        <w:jc w:val="both"/>
        <w:rPr>
          <w:sz w:val="28"/>
          <w:szCs w:val="28"/>
        </w:rPr>
      </w:pPr>
    </w:p>
    <w:p w:rsidR="00910D68" w:rsidRDefault="00B60CC4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proofErr w:type="gramStart"/>
      <w:r>
        <w:rPr>
          <w:sz w:val="18"/>
          <w:szCs w:val="18"/>
        </w:rPr>
        <w:t>.Ф</w:t>
      </w:r>
      <w:proofErr w:type="gramEnd"/>
      <w:r>
        <w:rPr>
          <w:sz w:val="18"/>
          <w:szCs w:val="18"/>
        </w:rPr>
        <w:t>айзуллин</w:t>
      </w:r>
      <w:proofErr w:type="spellEnd"/>
      <w:r>
        <w:rPr>
          <w:sz w:val="18"/>
          <w:szCs w:val="18"/>
        </w:rPr>
        <w:t xml:space="preserve"> Ф.Ф. </w:t>
      </w:r>
    </w:p>
    <w:p w:rsidR="00910D68" w:rsidRDefault="00B60CC4">
      <w:pPr>
        <w:jc w:val="both"/>
        <w:rPr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тел.: 2-22-01 (код 34752)</w:t>
      </w:r>
    </w:p>
    <w:sectPr w:rsidR="00910D68" w:rsidSect="00895BDA">
      <w:pgSz w:w="11906" w:h="16838"/>
      <w:pgMar w:top="709" w:right="567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0D68"/>
    <w:rsid w:val="001C61AB"/>
    <w:rsid w:val="00227845"/>
    <w:rsid w:val="00491484"/>
    <w:rsid w:val="005E1068"/>
    <w:rsid w:val="00895BDA"/>
    <w:rsid w:val="00910D68"/>
    <w:rsid w:val="00B6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7A"/>
    <w:pPr>
      <w:suppressAutoHyphens/>
    </w:pPr>
    <w:rPr>
      <w:color w:val="00000A"/>
      <w:sz w:val="24"/>
    </w:rPr>
  </w:style>
  <w:style w:type="paragraph" w:styleId="3">
    <w:name w:val="heading 3"/>
    <w:basedOn w:val="a0"/>
    <w:rsid w:val="00A1267A"/>
    <w:pPr>
      <w:jc w:val="center"/>
      <w:outlineLvl w:val="2"/>
    </w:pPr>
    <w:rPr>
      <w:b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A1267A"/>
    <w:rPr>
      <w:color w:val="000080"/>
      <w:u w:val="single"/>
    </w:rPr>
  </w:style>
  <w:style w:type="character" w:customStyle="1" w:styleId="a4">
    <w:name w:val="Текст выноски Знак"/>
    <w:basedOn w:val="a1"/>
    <w:uiPriority w:val="99"/>
    <w:semiHidden/>
    <w:qFormat/>
    <w:rsid w:val="00140198"/>
    <w:rPr>
      <w:rFonts w:ascii="Tahoma" w:hAnsi="Tahoma" w:cs="Mangal"/>
      <w:color w:val="00000A"/>
      <w:sz w:val="16"/>
      <w:szCs w:val="14"/>
    </w:rPr>
  </w:style>
  <w:style w:type="character" w:customStyle="1" w:styleId="2">
    <w:name w:val="Основной текст (2)"/>
    <w:basedOn w:val="a1"/>
    <w:qFormat/>
    <w:rsid w:val="00910D6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paragraph" w:customStyle="1" w:styleId="a0">
    <w:name w:val="Заголовок"/>
    <w:basedOn w:val="a"/>
    <w:next w:val="a5"/>
    <w:qFormat/>
    <w:rsid w:val="00A126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A1267A"/>
    <w:pPr>
      <w:spacing w:after="140" w:line="288" w:lineRule="auto"/>
    </w:pPr>
  </w:style>
  <w:style w:type="paragraph" w:styleId="a6">
    <w:name w:val="List"/>
    <w:basedOn w:val="a5"/>
    <w:rsid w:val="00A1267A"/>
  </w:style>
  <w:style w:type="paragraph" w:styleId="a7">
    <w:name w:val="Title"/>
    <w:basedOn w:val="a"/>
    <w:rsid w:val="00910D68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8">
    <w:name w:val="index heading"/>
    <w:basedOn w:val="a"/>
    <w:qFormat/>
    <w:rsid w:val="00A1267A"/>
    <w:pPr>
      <w:suppressLineNumbers/>
    </w:pPr>
  </w:style>
  <w:style w:type="paragraph" w:customStyle="1" w:styleId="a9">
    <w:name w:val="Заглавие"/>
    <w:basedOn w:val="a"/>
    <w:rsid w:val="00A1267A"/>
    <w:pPr>
      <w:suppressLineNumbers/>
      <w:spacing w:before="120" w:after="120"/>
    </w:pPr>
    <w:rPr>
      <w:i/>
      <w:iCs/>
      <w:szCs w:val="24"/>
    </w:rPr>
  </w:style>
  <w:style w:type="paragraph" w:styleId="aa">
    <w:name w:val="Normal (Web)"/>
    <w:qFormat/>
    <w:rsid w:val="00A1267A"/>
    <w:pPr>
      <w:suppressAutoHyphens/>
      <w:spacing w:before="100" w:after="100"/>
    </w:pPr>
    <w:rPr>
      <w:rFonts w:ascii="Arial" w:hAnsi="Arial"/>
      <w:color w:val="00000A"/>
      <w:sz w:val="24"/>
    </w:rPr>
  </w:style>
  <w:style w:type="paragraph" w:styleId="ab">
    <w:name w:val="caption"/>
    <w:qFormat/>
    <w:rsid w:val="00A1267A"/>
    <w:pPr>
      <w:suppressAutoHyphens/>
      <w:spacing w:after="120"/>
      <w:jc w:val="center"/>
    </w:pPr>
    <w:rPr>
      <w:rFonts w:ascii="Arial" w:hAnsi="Arial"/>
      <w:b/>
      <w:color w:val="00000A"/>
      <w:sz w:val="24"/>
      <w:u w:val="single"/>
    </w:rPr>
  </w:style>
  <w:style w:type="paragraph" w:customStyle="1" w:styleId="ac">
    <w:name w:val="Знак Знак Знак Знак Знак Знак"/>
    <w:qFormat/>
    <w:rsid w:val="00A1267A"/>
    <w:pPr>
      <w:suppressAutoHyphens/>
      <w:spacing w:after="160" w:line="240" w:lineRule="exact"/>
      <w:jc w:val="right"/>
    </w:pPr>
    <w:rPr>
      <w:color w:val="00000A"/>
      <w:sz w:val="24"/>
    </w:rPr>
  </w:style>
  <w:style w:type="paragraph" w:customStyle="1" w:styleId="ConsPlusNormal">
    <w:name w:val="ConsPlusNormal"/>
    <w:qFormat/>
    <w:rsid w:val="00A1267A"/>
    <w:pPr>
      <w:suppressAutoHyphens/>
      <w:ind w:firstLine="720"/>
    </w:pPr>
    <w:rPr>
      <w:rFonts w:ascii="Arial" w:hAnsi="Arial"/>
      <w:color w:val="00000A"/>
      <w:sz w:val="24"/>
    </w:rPr>
  </w:style>
  <w:style w:type="paragraph" w:styleId="ad">
    <w:name w:val="Balloon Text"/>
    <w:basedOn w:val="a"/>
    <w:uiPriority w:val="99"/>
    <w:semiHidden/>
    <w:unhideWhenUsed/>
    <w:qFormat/>
    <w:rsid w:val="00140198"/>
    <w:rPr>
      <w:rFonts w:ascii="Tahoma" w:hAnsi="Tahoma" w:cs="Mangal"/>
      <w:sz w:val="16"/>
      <w:szCs w:val="14"/>
    </w:rPr>
  </w:style>
  <w:style w:type="paragraph" w:customStyle="1" w:styleId="1">
    <w:name w:val="Обычный1"/>
    <w:qFormat/>
    <w:rsid w:val="00910D68"/>
    <w:pPr>
      <w:widowControl w:val="0"/>
      <w:suppressAutoHyphens/>
    </w:pPr>
    <w:rPr>
      <w:rFonts w:eastAsia="Times New Roman"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4FAA99514C854D8E0D4E6DBE751E7F81CA289E1D74C600DC8F55635F8E1EEE528B9CD30B7BA7D9b9VDG" TargetMode="External"/><Relationship Id="rId5" Type="http://schemas.openxmlformats.org/officeDocument/2006/relationships/hyperlink" Target="mailto:ond.zilai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по отделу.doc</dc:title>
  <dc:creator>111</dc:creator>
  <cp:lastModifiedBy>МЧС</cp:lastModifiedBy>
  <cp:revision>6</cp:revision>
  <cp:lastPrinted>2017-12-25T10:00:00Z</cp:lastPrinted>
  <dcterms:created xsi:type="dcterms:W3CDTF">2018-12-19T06:30:00Z</dcterms:created>
  <dcterms:modified xsi:type="dcterms:W3CDTF">2018-12-19T11:54:00Z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